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A890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29978417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34B32FC9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93D0C28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1608481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56C1F02B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692797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2EF3DEC9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5CB68B4D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620AF159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8D9BE25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2DBAD5DF" w14:textId="74E91942" w:rsidR="000053C6" w:rsidRPr="005F450F" w:rsidRDefault="00990971" w:rsidP="005F450F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0377846E" w14:textId="1F8EE9EF" w:rsidR="00D63E01" w:rsidRDefault="005F450F">
      <w:pPr>
        <w:pStyle w:val="Tekstpodstawowy3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Dostawa i montaż wraz z uruchomieniem urządzenia do kompensacji mocy biernej w budynk</w:t>
      </w:r>
      <w:r w:rsidR="002365EF">
        <w:rPr>
          <w:rFonts w:ascii="Verdana" w:hAnsi="Verdana"/>
          <w:b/>
          <w:bCs/>
          <w:sz w:val="20"/>
          <w:szCs w:val="20"/>
        </w:rPr>
        <w:t>ach</w:t>
      </w:r>
      <w:r>
        <w:rPr>
          <w:rFonts w:ascii="Verdana" w:hAnsi="Verdana"/>
          <w:b/>
          <w:bCs/>
          <w:sz w:val="20"/>
          <w:szCs w:val="20"/>
        </w:rPr>
        <w:t xml:space="preserve"> Oddziału GDDKiA w Rzeszowie </w:t>
      </w:r>
    </w:p>
    <w:p w14:paraId="3CDF3BA2" w14:textId="77777777" w:rsidR="00D63E01" w:rsidRPr="000053C6" w:rsidRDefault="00D63E01">
      <w:pPr>
        <w:pStyle w:val="Tekstpodstawowy3"/>
        <w:rPr>
          <w:rFonts w:ascii="Verdana" w:hAnsi="Verdana"/>
          <w:b/>
          <w:bCs/>
          <w:sz w:val="20"/>
          <w:szCs w:val="20"/>
        </w:rPr>
      </w:pPr>
    </w:p>
    <w:p w14:paraId="76DF637D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72F8AC64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A6D71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4A455E4B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623F3FB5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E1DCDF9" w14:textId="30D9868B" w:rsidR="00680866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3A400592" w14:textId="77777777" w:rsidR="00463564" w:rsidRDefault="00463564" w:rsidP="00463564">
      <w:pPr>
        <w:tabs>
          <w:tab w:val="left" w:pos="5529"/>
        </w:tabs>
        <w:spacing w:line="260" w:lineRule="auto"/>
        <w:rPr>
          <w:rFonts w:ascii="Verdana" w:hAnsi="Verdana"/>
          <w:iCs/>
          <w:sz w:val="18"/>
          <w:szCs w:val="18"/>
        </w:rPr>
      </w:pPr>
      <w:r w:rsidRPr="00D20CAE">
        <w:rPr>
          <w:rFonts w:ascii="Verdana" w:hAnsi="Verdana"/>
          <w:iCs/>
          <w:sz w:val="18"/>
          <w:szCs w:val="18"/>
        </w:rPr>
        <w:t>Oferuje przedmiot zamówienia zgodnie z tabelą poniżej:</w:t>
      </w:r>
    </w:p>
    <w:tbl>
      <w:tblPr>
        <w:tblStyle w:val="Tabela-Siatka"/>
        <w:tblW w:w="10933" w:type="dxa"/>
        <w:tblInd w:w="-856" w:type="dxa"/>
        <w:tblLook w:val="04A0" w:firstRow="1" w:lastRow="0" w:firstColumn="1" w:lastColumn="0" w:noHBand="0" w:noVBand="1"/>
      </w:tblPr>
      <w:tblGrid>
        <w:gridCol w:w="587"/>
        <w:gridCol w:w="1526"/>
        <w:gridCol w:w="2835"/>
        <w:gridCol w:w="1483"/>
        <w:gridCol w:w="834"/>
        <w:gridCol w:w="750"/>
        <w:gridCol w:w="1516"/>
        <w:gridCol w:w="1402"/>
      </w:tblGrid>
      <w:tr w:rsidR="00463564" w:rsidRPr="002365EF" w14:paraId="596AE4B5" w14:textId="77777777" w:rsidTr="00727544">
        <w:trPr>
          <w:trHeight w:val="705"/>
        </w:trPr>
        <w:tc>
          <w:tcPr>
            <w:tcW w:w="587" w:type="dxa"/>
            <w:vAlign w:val="center"/>
          </w:tcPr>
          <w:p w14:paraId="45228D14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1526" w:type="dxa"/>
            <w:vAlign w:val="center"/>
          </w:tcPr>
          <w:p w14:paraId="598B0657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Lokalizacja</w:t>
            </w:r>
          </w:p>
        </w:tc>
        <w:tc>
          <w:tcPr>
            <w:tcW w:w="4376" w:type="dxa"/>
            <w:gridSpan w:val="2"/>
            <w:vAlign w:val="center"/>
            <w:hideMark/>
          </w:tcPr>
          <w:p w14:paraId="457F1BC9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2365EF">
              <w:rPr>
                <w:rFonts w:ascii="Verdana" w:hAnsi="Verdana"/>
                <w:b/>
                <w:bCs/>
                <w:iCs/>
                <w:sz w:val="18"/>
                <w:szCs w:val="18"/>
              </w:rPr>
              <w:t>Zakres zamówienia</w:t>
            </w:r>
          </w:p>
        </w:tc>
        <w:tc>
          <w:tcPr>
            <w:tcW w:w="840" w:type="dxa"/>
            <w:vAlign w:val="center"/>
            <w:hideMark/>
          </w:tcPr>
          <w:p w14:paraId="3859C23D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j.m</w:t>
            </w:r>
            <w:r w:rsidRPr="002365EF">
              <w:rPr>
                <w:rFonts w:ascii="Verdana" w:hAnsi="Verdana"/>
                <w:b/>
                <w:bCs/>
                <w:iCs/>
                <w:sz w:val="18"/>
                <w:szCs w:val="18"/>
              </w:rPr>
              <w:t>.</w:t>
            </w:r>
          </w:p>
        </w:tc>
        <w:tc>
          <w:tcPr>
            <w:tcW w:w="752" w:type="dxa"/>
            <w:vAlign w:val="center"/>
            <w:hideMark/>
          </w:tcPr>
          <w:p w14:paraId="667D7E4B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2365EF">
              <w:rPr>
                <w:rFonts w:ascii="Verdana" w:hAnsi="Verdana"/>
                <w:b/>
                <w:bCs/>
                <w:iCs/>
                <w:sz w:val="18"/>
                <w:szCs w:val="18"/>
              </w:rPr>
              <w:t>ilość</w:t>
            </w:r>
          </w:p>
        </w:tc>
        <w:tc>
          <w:tcPr>
            <w:tcW w:w="1440" w:type="dxa"/>
            <w:vAlign w:val="center"/>
            <w:hideMark/>
          </w:tcPr>
          <w:p w14:paraId="7762DECE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2365EF">
              <w:rPr>
                <w:rFonts w:ascii="Verdana" w:hAnsi="Verdana"/>
                <w:b/>
                <w:bCs/>
                <w:iCs/>
                <w:sz w:val="18"/>
                <w:szCs w:val="18"/>
              </w:rPr>
              <w:t>cena jednostkowa netto</w:t>
            </w:r>
          </w:p>
        </w:tc>
        <w:tc>
          <w:tcPr>
            <w:tcW w:w="1412" w:type="dxa"/>
            <w:vAlign w:val="center"/>
            <w:hideMark/>
          </w:tcPr>
          <w:p w14:paraId="270A83B1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2365EF">
              <w:rPr>
                <w:rFonts w:ascii="Verdana" w:hAnsi="Verdana"/>
                <w:b/>
                <w:bCs/>
                <w:iCs/>
                <w:sz w:val="18"/>
                <w:szCs w:val="18"/>
              </w:rPr>
              <w:t>wartość netto</w:t>
            </w:r>
          </w:p>
        </w:tc>
      </w:tr>
      <w:tr w:rsidR="00463564" w:rsidRPr="002365EF" w14:paraId="7E6886CF" w14:textId="77777777" w:rsidTr="00727544">
        <w:trPr>
          <w:trHeight w:val="561"/>
        </w:trPr>
        <w:tc>
          <w:tcPr>
            <w:tcW w:w="587" w:type="dxa"/>
          </w:tcPr>
          <w:p w14:paraId="74D4D190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1.</w:t>
            </w:r>
          </w:p>
        </w:tc>
        <w:tc>
          <w:tcPr>
            <w:tcW w:w="1526" w:type="dxa"/>
          </w:tcPr>
          <w:p w14:paraId="23786B0A" w14:textId="77777777" w:rsidR="00463564" w:rsidRPr="005C2EA2" w:rsidRDefault="00463564" w:rsidP="00727544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C2EA2">
              <w:rPr>
                <w:rFonts w:ascii="Verdana" w:hAnsi="Verdana"/>
                <w:sz w:val="20"/>
                <w:szCs w:val="20"/>
              </w:rPr>
              <w:t>Budynek GDDKiA O/Rzeszów - ul. Sikorskiego 49c, 35-959 Rzeszów</w:t>
            </w:r>
          </w:p>
          <w:p w14:paraId="5DAF1D7F" w14:textId="77777777" w:rsidR="00463564" w:rsidRPr="008435B0" w:rsidRDefault="00463564" w:rsidP="00727544">
            <w:pPr>
              <w:pStyle w:val="Akapitzlist"/>
              <w:tabs>
                <w:tab w:val="left" w:pos="5529"/>
              </w:tabs>
              <w:spacing w:after="0" w:line="260" w:lineRule="auto"/>
              <w:ind w:left="435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4376" w:type="dxa"/>
            <w:gridSpan w:val="2"/>
            <w:hideMark/>
          </w:tcPr>
          <w:p w14:paraId="220B7A30" w14:textId="77777777" w:rsidR="00463564" w:rsidRPr="008435B0" w:rsidRDefault="00463564" w:rsidP="00F8340F">
            <w:pPr>
              <w:pStyle w:val="Akapitzlist"/>
              <w:numPr>
                <w:ilvl w:val="0"/>
                <w:numId w:val="1"/>
              </w:numPr>
              <w:tabs>
                <w:tab w:val="left" w:pos="5529"/>
              </w:tabs>
              <w:spacing w:after="0"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 xml:space="preserve">Dostawa urządzenia </w:t>
            </w:r>
          </w:p>
          <w:p w14:paraId="2D5B503E" w14:textId="77777777" w:rsidR="00463564" w:rsidRDefault="00463564" w:rsidP="00F8340F">
            <w:pPr>
              <w:pStyle w:val="Akapitzlist"/>
              <w:numPr>
                <w:ilvl w:val="0"/>
                <w:numId w:val="1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 xml:space="preserve">Montaż kompensatora </w:t>
            </w:r>
          </w:p>
          <w:p w14:paraId="232214F8" w14:textId="77777777" w:rsidR="00463564" w:rsidRPr="008435B0" w:rsidRDefault="00463564" w:rsidP="00F8340F">
            <w:pPr>
              <w:pStyle w:val="Akapitzlist"/>
              <w:numPr>
                <w:ilvl w:val="0"/>
                <w:numId w:val="1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Wykonanie zasilania do kompensatora</w:t>
            </w:r>
          </w:p>
          <w:p w14:paraId="6D8B3BA4" w14:textId="77777777" w:rsidR="00463564" w:rsidRPr="008435B0" w:rsidRDefault="00463564" w:rsidP="00F8340F">
            <w:pPr>
              <w:pStyle w:val="Akapitzlist"/>
              <w:numPr>
                <w:ilvl w:val="0"/>
                <w:numId w:val="1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Montaż przekładników prądowych</w:t>
            </w:r>
          </w:p>
          <w:p w14:paraId="117C02B5" w14:textId="77777777" w:rsidR="00463564" w:rsidRPr="008435B0" w:rsidRDefault="00463564" w:rsidP="00F8340F">
            <w:pPr>
              <w:pStyle w:val="Akapitzlist"/>
              <w:numPr>
                <w:ilvl w:val="0"/>
                <w:numId w:val="1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Uruchomienie, sprawdzenie działania kompensatora</w:t>
            </w:r>
          </w:p>
          <w:p w14:paraId="5D80A49B" w14:textId="77777777" w:rsidR="00463564" w:rsidRPr="008435B0" w:rsidRDefault="00463564" w:rsidP="00F8340F">
            <w:pPr>
              <w:pStyle w:val="Akapitzlist"/>
              <w:numPr>
                <w:ilvl w:val="0"/>
                <w:numId w:val="1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Wykonanie diagnostyk związanych z bieżąca regulacją urządzenia w pierwszych tygodniach pracy</w:t>
            </w:r>
          </w:p>
          <w:p w14:paraId="2B37B9C2" w14:textId="77777777" w:rsidR="00463564" w:rsidRPr="008435B0" w:rsidRDefault="00463564" w:rsidP="00F8340F">
            <w:pPr>
              <w:pStyle w:val="Akapitzlist"/>
              <w:numPr>
                <w:ilvl w:val="0"/>
                <w:numId w:val="1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Monitorowanie i kontrola mocy biernej w okresie 3 miesięcy po uruchomieniu</w:t>
            </w:r>
          </w:p>
          <w:p w14:paraId="13DE0D17" w14:textId="77777777" w:rsidR="00463564" w:rsidRDefault="00463564" w:rsidP="00F8340F">
            <w:pPr>
              <w:pStyle w:val="Akapitzlist"/>
              <w:numPr>
                <w:ilvl w:val="0"/>
                <w:numId w:val="1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Koszty związane z poplombowaniem i zaplombowaniem przekładników prądowych</w:t>
            </w:r>
          </w:p>
          <w:p w14:paraId="139EDDB6" w14:textId="3F4661E0" w:rsidR="00F8340F" w:rsidRDefault="00F8340F" w:rsidP="00AA61A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37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F8340F">
              <w:rPr>
                <w:rFonts w:ascii="Verdana" w:hAnsi="Verdana"/>
                <w:sz w:val="18"/>
                <w:szCs w:val="18"/>
              </w:rPr>
              <w:t>Koszty innych materiałów pomocniczych</w:t>
            </w:r>
          </w:p>
          <w:p w14:paraId="61349D57" w14:textId="77777777" w:rsidR="00AA61A0" w:rsidRPr="00AA61A0" w:rsidRDefault="00AA61A0" w:rsidP="00AA61A0">
            <w:pPr>
              <w:pStyle w:val="Akapitzlist"/>
              <w:spacing w:after="0" w:line="240" w:lineRule="auto"/>
              <w:ind w:left="337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D7F8FC6" w14:textId="039949B9" w:rsidR="00F8340F" w:rsidRPr="00F8340F" w:rsidRDefault="00463564" w:rsidP="00F8340F">
            <w:pPr>
              <w:autoSpaceDE w:val="0"/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F8340F">
              <w:rPr>
                <w:rFonts w:ascii="Verdana" w:hAnsi="Verdana"/>
                <w:b/>
                <w:bCs/>
                <w:iCs/>
                <w:sz w:val="18"/>
                <w:szCs w:val="18"/>
              </w:rPr>
              <w:t>Parametry techniczne kompensatora:</w:t>
            </w:r>
            <w:r w:rsidRPr="00F8340F">
              <w:rPr>
                <w:rFonts w:ascii="Verdana" w:hAnsi="Verdana"/>
                <w:iCs/>
                <w:sz w:val="18"/>
                <w:szCs w:val="18"/>
              </w:rPr>
              <w:br/>
              <w:t xml:space="preserve">• moc </w:t>
            </w:r>
            <w:r w:rsidR="00F8340F" w:rsidRPr="00F8340F">
              <w:rPr>
                <w:rFonts w:ascii="Verdana" w:hAnsi="Verdana"/>
                <w:sz w:val="20"/>
                <w:szCs w:val="20"/>
              </w:rPr>
              <w:t>min. 20 kVar</w:t>
            </w:r>
          </w:p>
          <w:p w14:paraId="48A8D504" w14:textId="28D13424" w:rsidR="00463564" w:rsidRDefault="00463564" w:rsidP="00727544">
            <w:pPr>
              <w:tabs>
                <w:tab w:val="left" w:pos="5529"/>
              </w:tabs>
              <w:spacing w:after="0" w:line="260" w:lineRule="auto"/>
              <w:rPr>
                <w:rFonts w:ascii="Verdana" w:hAnsi="Verdana"/>
                <w:iCs/>
                <w:sz w:val="18"/>
                <w:szCs w:val="18"/>
              </w:rPr>
            </w:pPr>
            <w:r w:rsidRPr="00925EE0">
              <w:rPr>
                <w:rFonts w:ascii="Verdana" w:hAnsi="Verdana"/>
                <w:iCs/>
                <w:sz w:val="18"/>
                <w:szCs w:val="18"/>
              </w:rPr>
              <w:t xml:space="preserve">• stopniowanie: regulacja bezstopniowa każdej fazy niezależnie 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>• szybka bezstopniowa kompensacja mocy biernej indukcyjnej i pojemnościowej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lastRenderedPageBreak/>
              <w:t>• obudowa metalowa do montażu wewnątrz pomieszczeń: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  - klasa szczelności  IP20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  - chłodzenie wymuszone ; wentylatory sterowane przez system wykonawczy kompensatora</w:t>
            </w:r>
          </w:p>
          <w:p w14:paraId="1000D3FF" w14:textId="77777777" w:rsidR="00463564" w:rsidRPr="00925EE0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 w:rsidRPr="00925EE0">
              <w:rPr>
                <w:rFonts w:ascii="Verdana" w:hAnsi="Verdana"/>
                <w:iCs/>
                <w:sz w:val="18"/>
                <w:szCs w:val="18"/>
              </w:rPr>
              <w:t>•</w:t>
            </w:r>
            <w:r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t>konfiguracja systemu przez WiFi oraz złącze RJ</w:t>
            </w:r>
          </w:p>
        </w:tc>
        <w:tc>
          <w:tcPr>
            <w:tcW w:w="840" w:type="dxa"/>
            <w:vAlign w:val="center"/>
            <w:hideMark/>
          </w:tcPr>
          <w:p w14:paraId="0AD19370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 w:rsidRPr="002365EF">
              <w:rPr>
                <w:rFonts w:ascii="Verdana" w:hAnsi="Verdana"/>
                <w:iCs/>
                <w:sz w:val="18"/>
                <w:szCs w:val="18"/>
              </w:rPr>
              <w:lastRenderedPageBreak/>
              <w:t>kpl</w:t>
            </w:r>
          </w:p>
        </w:tc>
        <w:tc>
          <w:tcPr>
            <w:tcW w:w="752" w:type="dxa"/>
            <w:vAlign w:val="center"/>
            <w:hideMark/>
          </w:tcPr>
          <w:p w14:paraId="2511F333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</w:t>
            </w:r>
          </w:p>
        </w:tc>
        <w:tc>
          <w:tcPr>
            <w:tcW w:w="1440" w:type="dxa"/>
          </w:tcPr>
          <w:p w14:paraId="3CABB841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1412" w:type="dxa"/>
          </w:tcPr>
          <w:p w14:paraId="22C86F74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</w:tr>
      <w:tr w:rsidR="00463564" w:rsidRPr="002365EF" w14:paraId="1F842ED4" w14:textId="77777777" w:rsidTr="00727544">
        <w:trPr>
          <w:trHeight w:val="5183"/>
        </w:trPr>
        <w:tc>
          <w:tcPr>
            <w:tcW w:w="587" w:type="dxa"/>
          </w:tcPr>
          <w:p w14:paraId="0B08B2F5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2.</w:t>
            </w:r>
          </w:p>
        </w:tc>
        <w:tc>
          <w:tcPr>
            <w:tcW w:w="1526" w:type="dxa"/>
          </w:tcPr>
          <w:p w14:paraId="67C608F0" w14:textId="77777777" w:rsidR="00463564" w:rsidRPr="005C2EA2" w:rsidRDefault="00463564" w:rsidP="00727544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C2EA2">
              <w:rPr>
                <w:rFonts w:ascii="Verdana" w:hAnsi="Verdana"/>
                <w:sz w:val="20"/>
                <w:szCs w:val="20"/>
              </w:rPr>
              <w:t>Obiekt Socjalny w Kalnicy – Kalnica 28, 38-608 Wetlina</w:t>
            </w:r>
          </w:p>
          <w:p w14:paraId="3351D846" w14:textId="77777777" w:rsidR="00463564" w:rsidRPr="005C2EA2" w:rsidRDefault="00463564" w:rsidP="00727544">
            <w:pPr>
              <w:tabs>
                <w:tab w:val="left" w:pos="5529"/>
              </w:tabs>
              <w:spacing w:after="0" w:line="260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4376" w:type="dxa"/>
            <w:gridSpan w:val="2"/>
          </w:tcPr>
          <w:p w14:paraId="65E2BD49" w14:textId="77777777" w:rsidR="00463564" w:rsidRPr="008435B0" w:rsidRDefault="00463564" w:rsidP="00F8340F">
            <w:pPr>
              <w:pStyle w:val="Akapitzlist"/>
              <w:numPr>
                <w:ilvl w:val="0"/>
                <w:numId w:val="2"/>
              </w:numPr>
              <w:tabs>
                <w:tab w:val="left" w:pos="5529"/>
              </w:tabs>
              <w:spacing w:after="0"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 xml:space="preserve">Dostawa urządzenia </w:t>
            </w:r>
          </w:p>
          <w:p w14:paraId="46847AC7" w14:textId="77777777" w:rsidR="00463564" w:rsidRDefault="00463564" w:rsidP="00F8340F">
            <w:pPr>
              <w:pStyle w:val="Akapitzlist"/>
              <w:numPr>
                <w:ilvl w:val="0"/>
                <w:numId w:val="2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 xml:space="preserve">Montaż kompensatora </w:t>
            </w:r>
          </w:p>
          <w:p w14:paraId="6366F54A" w14:textId="77777777" w:rsidR="00463564" w:rsidRPr="008435B0" w:rsidRDefault="00463564" w:rsidP="00F8340F">
            <w:pPr>
              <w:pStyle w:val="Akapitzlist"/>
              <w:numPr>
                <w:ilvl w:val="0"/>
                <w:numId w:val="2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Wykonanie zasilania do kompensatora</w:t>
            </w:r>
          </w:p>
          <w:p w14:paraId="7FDCFF48" w14:textId="77777777" w:rsidR="00463564" w:rsidRPr="008435B0" w:rsidRDefault="00463564" w:rsidP="00F8340F">
            <w:pPr>
              <w:pStyle w:val="Akapitzlist"/>
              <w:numPr>
                <w:ilvl w:val="0"/>
                <w:numId w:val="2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Montaż przekładników prądowych</w:t>
            </w:r>
          </w:p>
          <w:p w14:paraId="5C3A6078" w14:textId="77777777" w:rsidR="00463564" w:rsidRPr="008435B0" w:rsidRDefault="00463564" w:rsidP="00F8340F">
            <w:pPr>
              <w:pStyle w:val="Akapitzlist"/>
              <w:numPr>
                <w:ilvl w:val="0"/>
                <w:numId w:val="2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Uruchomienie, sprawdzenie działania kompensatora</w:t>
            </w:r>
          </w:p>
          <w:p w14:paraId="4693CA6A" w14:textId="77777777" w:rsidR="00463564" w:rsidRPr="008435B0" w:rsidRDefault="00463564" w:rsidP="00F8340F">
            <w:pPr>
              <w:pStyle w:val="Akapitzlist"/>
              <w:numPr>
                <w:ilvl w:val="0"/>
                <w:numId w:val="2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Wykonanie diagnostyk związanych z bieżąca regulacją urządzenia w pierwszych tygodniach pracy</w:t>
            </w:r>
          </w:p>
          <w:p w14:paraId="2EC910C9" w14:textId="77777777" w:rsidR="00463564" w:rsidRPr="008435B0" w:rsidRDefault="00463564" w:rsidP="00F8340F">
            <w:pPr>
              <w:pStyle w:val="Akapitzlist"/>
              <w:numPr>
                <w:ilvl w:val="0"/>
                <w:numId w:val="2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Monitorowanie i kontrola mocy biernej w okresie 3 miesięcy po uruchomieniu</w:t>
            </w:r>
          </w:p>
          <w:p w14:paraId="7295C569" w14:textId="77777777" w:rsidR="00463564" w:rsidRDefault="00463564" w:rsidP="00F8340F">
            <w:pPr>
              <w:pStyle w:val="Akapitzlist"/>
              <w:numPr>
                <w:ilvl w:val="0"/>
                <w:numId w:val="2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Koszty związane z poplombowaniem i zaplombowaniem przekładników prądowych</w:t>
            </w:r>
          </w:p>
          <w:p w14:paraId="435F4626" w14:textId="520DCE6A" w:rsidR="00F8340F" w:rsidRDefault="00F8340F" w:rsidP="00AA61A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37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F8340F">
              <w:rPr>
                <w:rFonts w:ascii="Verdana" w:hAnsi="Verdana"/>
                <w:sz w:val="18"/>
                <w:szCs w:val="18"/>
              </w:rPr>
              <w:t>Koszty innych materiałów pomocniczych</w:t>
            </w:r>
          </w:p>
          <w:p w14:paraId="09C681D7" w14:textId="77777777" w:rsidR="00AA61A0" w:rsidRPr="00AA61A0" w:rsidRDefault="00AA61A0" w:rsidP="00AA61A0">
            <w:pPr>
              <w:pStyle w:val="Akapitzlist"/>
              <w:spacing w:after="0" w:line="240" w:lineRule="auto"/>
              <w:ind w:left="337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6C3378A" w14:textId="47E15FA6" w:rsidR="00463564" w:rsidRPr="00925EE0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b/>
                <w:bCs/>
                <w:iCs/>
                <w:sz w:val="18"/>
                <w:szCs w:val="18"/>
              </w:rPr>
              <w:t>Parametry techniczne kompensatora: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• moc </w:t>
            </w:r>
            <w:r w:rsidR="00F8340F">
              <w:rPr>
                <w:rFonts w:ascii="Verdana" w:hAnsi="Verdana"/>
                <w:sz w:val="20"/>
                <w:szCs w:val="20"/>
              </w:rPr>
              <w:t>min.</w:t>
            </w:r>
            <w:r w:rsidR="00F8340F" w:rsidRPr="00071B6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8340F">
              <w:rPr>
                <w:rFonts w:ascii="Verdana" w:hAnsi="Verdana"/>
                <w:sz w:val="20"/>
                <w:szCs w:val="20"/>
              </w:rPr>
              <w:t>2</w:t>
            </w:r>
            <w:r w:rsidR="00F8340F" w:rsidRPr="00071B68">
              <w:rPr>
                <w:rFonts w:ascii="Verdana" w:hAnsi="Verdana"/>
                <w:sz w:val="20"/>
                <w:szCs w:val="20"/>
              </w:rPr>
              <w:t>0 kVar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• stopniowanie: regulacja bezstopniowa każdej fazy niezależnie 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>• szybka bezstopniowa kompensacja mocy biernej indukcyjnej i pojemnościowej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>• obudowa metalowa do montażu wewnątrz pomieszczeń: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  - klasa szczelności  IP20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  - chłodzenie wymuszone ; wentylatory sterowane przez system wykonawczy kompensatora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>•</w:t>
            </w:r>
            <w:r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t>konfiguracja systemu przez WiFi oraz złącze RJ</w:t>
            </w:r>
          </w:p>
        </w:tc>
        <w:tc>
          <w:tcPr>
            <w:tcW w:w="840" w:type="dxa"/>
            <w:vAlign w:val="center"/>
          </w:tcPr>
          <w:p w14:paraId="3A36A6A3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 w:rsidRPr="002365EF">
              <w:rPr>
                <w:rFonts w:ascii="Verdana" w:hAnsi="Verdana"/>
                <w:iCs/>
                <w:sz w:val="18"/>
                <w:szCs w:val="18"/>
              </w:rPr>
              <w:t>kpl</w:t>
            </w:r>
          </w:p>
        </w:tc>
        <w:tc>
          <w:tcPr>
            <w:tcW w:w="752" w:type="dxa"/>
            <w:vAlign w:val="center"/>
          </w:tcPr>
          <w:p w14:paraId="5DA39EA5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</w:t>
            </w:r>
          </w:p>
        </w:tc>
        <w:tc>
          <w:tcPr>
            <w:tcW w:w="1440" w:type="dxa"/>
          </w:tcPr>
          <w:p w14:paraId="6909FB34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1412" w:type="dxa"/>
          </w:tcPr>
          <w:p w14:paraId="3EF6DCDF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</w:tr>
      <w:tr w:rsidR="00463564" w:rsidRPr="002365EF" w14:paraId="38C5C02B" w14:textId="77777777" w:rsidTr="00727544">
        <w:trPr>
          <w:trHeight w:val="1125"/>
        </w:trPr>
        <w:tc>
          <w:tcPr>
            <w:tcW w:w="587" w:type="dxa"/>
            <w:tcBorders>
              <w:bottom w:val="nil"/>
            </w:tcBorders>
          </w:tcPr>
          <w:p w14:paraId="2D05505C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3.</w:t>
            </w:r>
          </w:p>
        </w:tc>
        <w:tc>
          <w:tcPr>
            <w:tcW w:w="1526" w:type="dxa"/>
            <w:tcBorders>
              <w:bottom w:val="nil"/>
            </w:tcBorders>
          </w:tcPr>
          <w:p w14:paraId="3FE8AEFE" w14:textId="77777777" w:rsidR="00463564" w:rsidRPr="005C2EA2" w:rsidRDefault="00463564" w:rsidP="00727544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C2EA2">
              <w:rPr>
                <w:rFonts w:ascii="Verdana" w:hAnsi="Verdana"/>
                <w:bCs/>
                <w:sz w:val="20"/>
                <w:szCs w:val="20"/>
              </w:rPr>
              <w:t xml:space="preserve">GDDKiA </w:t>
            </w:r>
            <w:r w:rsidRPr="005C2EA2">
              <w:rPr>
                <w:rFonts w:ascii="Verdana" w:hAnsi="Verdana"/>
                <w:sz w:val="20"/>
                <w:szCs w:val="20"/>
              </w:rPr>
              <w:t>O/Rzeszów</w:t>
            </w:r>
            <w:r w:rsidRPr="005C2EA2">
              <w:rPr>
                <w:rFonts w:ascii="Verdana" w:hAnsi="Verdana"/>
                <w:bCs/>
                <w:sz w:val="20"/>
                <w:szCs w:val="20"/>
              </w:rPr>
              <w:t>, Rejon w Lesku,</w:t>
            </w:r>
            <w:r w:rsidRPr="005C2EA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C2EA2">
              <w:rPr>
                <w:rFonts w:ascii="Verdana" w:hAnsi="Verdana"/>
                <w:sz w:val="20"/>
                <w:szCs w:val="20"/>
              </w:rPr>
              <w:t xml:space="preserve">ul. Przemysłowa 16, 38-600 Lesko </w:t>
            </w:r>
          </w:p>
          <w:p w14:paraId="5C8E0A62" w14:textId="77777777" w:rsidR="00463564" w:rsidRPr="005C2EA2" w:rsidRDefault="00463564" w:rsidP="00727544">
            <w:pPr>
              <w:tabs>
                <w:tab w:val="left" w:pos="5529"/>
              </w:tabs>
              <w:spacing w:after="0" w:line="260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4376" w:type="dxa"/>
            <w:gridSpan w:val="2"/>
            <w:tcBorders>
              <w:bottom w:val="nil"/>
            </w:tcBorders>
          </w:tcPr>
          <w:p w14:paraId="50312FB6" w14:textId="77777777" w:rsidR="00463564" w:rsidRPr="008435B0" w:rsidRDefault="00463564" w:rsidP="00F8340F">
            <w:pPr>
              <w:pStyle w:val="Akapitzlist"/>
              <w:numPr>
                <w:ilvl w:val="0"/>
                <w:numId w:val="3"/>
              </w:numPr>
              <w:tabs>
                <w:tab w:val="left" w:pos="5529"/>
              </w:tabs>
              <w:spacing w:after="0"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 xml:space="preserve">Dostawa urządzenia </w:t>
            </w:r>
          </w:p>
          <w:p w14:paraId="0A00385B" w14:textId="77777777" w:rsidR="00463564" w:rsidRDefault="00463564" w:rsidP="00F8340F">
            <w:pPr>
              <w:pStyle w:val="Akapitzlist"/>
              <w:numPr>
                <w:ilvl w:val="0"/>
                <w:numId w:val="3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 xml:space="preserve">Montaż kompensatora </w:t>
            </w:r>
          </w:p>
          <w:p w14:paraId="457EA95D" w14:textId="77777777" w:rsidR="00463564" w:rsidRPr="008435B0" w:rsidRDefault="00463564" w:rsidP="00F8340F">
            <w:pPr>
              <w:pStyle w:val="Akapitzlist"/>
              <w:numPr>
                <w:ilvl w:val="0"/>
                <w:numId w:val="3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Wykonanie zasilania do kompensatora</w:t>
            </w:r>
          </w:p>
          <w:p w14:paraId="2734385E" w14:textId="77777777" w:rsidR="00463564" w:rsidRPr="008435B0" w:rsidRDefault="00463564" w:rsidP="00F8340F">
            <w:pPr>
              <w:pStyle w:val="Akapitzlist"/>
              <w:numPr>
                <w:ilvl w:val="0"/>
                <w:numId w:val="3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Montaż przekładników prądowych</w:t>
            </w:r>
          </w:p>
          <w:p w14:paraId="196330FD" w14:textId="77777777" w:rsidR="00463564" w:rsidRPr="008435B0" w:rsidRDefault="00463564" w:rsidP="00F8340F">
            <w:pPr>
              <w:pStyle w:val="Akapitzlist"/>
              <w:numPr>
                <w:ilvl w:val="0"/>
                <w:numId w:val="3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Uruchomienie, sprawdzenie działania kompensatora</w:t>
            </w:r>
          </w:p>
          <w:p w14:paraId="0D5B0E4A" w14:textId="77777777" w:rsidR="00463564" w:rsidRPr="008435B0" w:rsidRDefault="00463564" w:rsidP="00F8340F">
            <w:pPr>
              <w:pStyle w:val="Akapitzlist"/>
              <w:numPr>
                <w:ilvl w:val="0"/>
                <w:numId w:val="3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Wykonanie diagnostyk związanych z bieżąca regulacją urządzenia w pierwszych tygodniach pracy</w:t>
            </w:r>
          </w:p>
          <w:p w14:paraId="793FDF15" w14:textId="77777777" w:rsidR="00463564" w:rsidRPr="008435B0" w:rsidRDefault="00463564" w:rsidP="00F8340F">
            <w:pPr>
              <w:pStyle w:val="Akapitzlist"/>
              <w:numPr>
                <w:ilvl w:val="0"/>
                <w:numId w:val="3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Monitorowanie i kontrola mocy biernej w okresie 3 miesięcy po uruchomieniu</w:t>
            </w:r>
          </w:p>
          <w:p w14:paraId="225E1D4B" w14:textId="354FA76E" w:rsidR="00463564" w:rsidRDefault="00463564" w:rsidP="00F8340F">
            <w:pPr>
              <w:pStyle w:val="Akapitzlist"/>
              <w:numPr>
                <w:ilvl w:val="0"/>
                <w:numId w:val="3"/>
              </w:numPr>
              <w:tabs>
                <w:tab w:val="left" w:pos="5529"/>
              </w:tabs>
              <w:spacing w:line="260" w:lineRule="auto"/>
              <w:ind w:left="337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iCs/>
                <w:sz w:val="18"/>
                <w:szCs w:val="18"/>
              </w:rPr>
              <w:t>Koszty związane z poplombowaniem i zaplombowaniem przekładników prądowych</w:t>
            </w:r>
          </w:p>
          <w:p w14:paraId="5DB15B4A" w14:textId="15231026" w:rsidR="00F8340F" w:rsidRPr="00AA61A0" w:rsidRDefault="00F8340F" w:rsidP="00AA61A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37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  <w:r w:rsidRPr="00F8340F">
              <w:rPr>
                <w:rFonts w:ascii="Verdana" w:hAnsi="Verdana"/>
                <w:sz w:val="18"/>
                <w:szCs w:val="18"/>
              </w:rPr>
              <w:t>Koszty innych materiałów pomocniczych</w:t>
            </w:r>
          </w:p>
          <w:p w14:paraId="07A0D3C3" w14:textId="77777777" w:rsidR="00F8340F" w:rsidRPr="00F8340F" w:rsidRDefault="00F8340F" w:rsidP="00F8340F">
            <w:pPr>
              <w:pStyle w:val="Akapitzlist"/>
              <w:spacing w:after="0" w:line="240" w:lineRule="auto"/>
              <w:contextualSpacing w:val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F96990C" w14:textId="42FB62D3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 w:rsidRPr="008435B0">
              <w:rPr>
                <w:rFonts w:ascii="Verdana" w:hAnsi="Verdana"/>
                <w:b/>
                <w:bCs/>
                <w:iCs/>
                <w:sz w:val="18"/>
                <w:szCs w:val="18"/>
              </w:rPr>
              <w:t>Parametry techniczne kompensatora: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• moc </w:t>
            </w:r>
            <w:r w:rsidR="00F8340F">
              <w:rPr>
                <w:rFonts w:ascii="Verdana" w:hAnsi="Verdana"/>
                <w:sz w:val="20"/>
                <w:szCs w:val="20"/>
              </w:rPr>
              <w:t xml:space="preserve">min. </w:t>
            </w:r>
            <w:r w:rsidR="00157094">
              <w:rPr>
                <w:rFonts w:ascii="Verdana" w:hAnsi="Verdana"/>
                <w:sz w:val="20"/>
                <w:szCs w:val="20"/>
              </w:rPr>
              <w:t>10</w:t>
            </w:r>
            <w:r w:rsidR="00F8340F" w:rsidRPr="00071B68">
              <w:rPr>
                <w:rFonts w:ascii="Verdana" w:hAnsi="Verdana"/>
                <w:sz w:val="20"/>
                <w:szCs w:val="20"/>
              </w:rPr>
              <w:t xml:space="preserve"> kVar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• stopniowanie: regulacja bezstopniowa 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lastRenderedPageBreak/>
              <w:t xml:space="preserve">każdej fazy niezależnie 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>• szybka bezstopniowa kompensacja mocy biernej indukcyjnej i pojemnościowej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>• obudowa metalowa do montażu wewnątrz pomieszczeń: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  - klasa szczelności  IP20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 xml:space="preserve">  - chłodzenie wymuszone ; wentylatory sterowane przez system wykonawczy kompensatora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br/>
              <w:t>•</w:t>
            </w:r>
            <w:r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 w:rsidRPr="00925EE0">
              <w:rPr>
                <w:rFonts w:ascii="Verdana" w:hAnsi="Verdana"/>
                <w:iCs/>
                <w:sz w:val="18"/>
                <w:szCs w:val="18"/>
              </w:rPr>
              <w:t>konfiguracja systemu przez WiFi oraz złącze RJ</w:t>
            </w:r>
          </w:p>
        </w:tc>
        <w:tc>
          <w:tcPr>
            <w:tcW w:w="840" w:type="dxa"/>
            <w:vAlign w:val="center"/>
          </w:tcPr>
          <w:p w14:paraId="1F7A09D3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 w:rsidRPr="002365EF">
              <w:rPr>
                <w:rFonts w:ascii="Verdana" w:hAnsi="Verdana"/>
                <w:iCs/>
                <w:sz w:val="18"/>
                <w:szCs w:val="18"/>
              </w:rPr>
              <w:lastRenderedPageBreak/>
              <w:t>kpl</w:t>
            </w:r>
          </w:p>
        </w:tc>
        <w:tc>
          <w:tcPr>
            <w:tcW w:w="752" w:type="dxa"/>
            <w:vAlign w:val="center"/>
          </w:tcPr>
          <w:p w14:paraId="27D79A6D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1</w:t>
            </w:r>
          </w:p>
        </w:tc>
        <w:tc>
          <w:tcPr>
            <w:tcW w:w="1440" w:type="dxa"/>
          </w:tcPr>
          <w:p w14:paraId="154C18F9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1412" w:type="dxa"/>
          </w:tcPr>
          <w:p w14:paraId="2366C5FA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</w:tr>
      <w:tr w:rsidR="00463564" w:rsidRPr="002365EF" w14:paraId="1D952749" w14:textId="77777777" w:rsidTr="00727544">
        <w:trPr>
          <w:trHeight w:val="346"/>
        </w:trPr>
        <w:tc>
          <w:tcPr>
            <w:tcW w:w="49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9FBE1" w14:textId="77777777" w:rsidR="00463564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F09A71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032" w:type="dxa"/>
            <w:gridSpan w:val="3"/>
            <w:tcBorders>
              <w:top w:val="single" w:sz="4" w:space="0" w:color="auto"/>
              <w:left w:val="single" w:sz="4" w:space="0" w:color="auto"/>
            </w:tcBorders>
            <w:hideMark/>
          </w:tcPr>
          <w:p w14:paraId="3261A144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right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Suma</w:t>
            </w:r>
            <w:r w:rsidRPr="002365EF"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 netto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412" w:type="dxa"/>
          </w:tcPr>
          <w:p w14:paraId="66747ABA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</w:p>
        </w:tc>
      </w:tr>
      <w:tr w:rsidR="00463564" w:rsidRPr="002365EF" w14:paraId="59F5B38E" w14:textId="77777777" w:rsidTr="00727544">
        <w:trPr>
          <w:gridBefore w:val="2"/>
          <w:wBefore w:w="2113" w:type="dxa"/>
          <w:trHeight w:val="452"/>
        </w:trPr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10DCB4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32" w:type="dxa"/>
            <w:gridSpan w:val="3"/>
            <w:tcBorders>
              <w:left w:val="single" w:sz="4" w:space="0" w:color="auto"/>
            </w:tcBorders>
            <w:hideMark/>
          </w:tcPr>
          <w:p w14:paraId="67EFE6A4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right"/>
              <w:rPr>
                <w:rFonts w:ascii="Verdana" w:hAnsi="Verdana"/>
                <w:iCs/>
                <w:sz w:val="18"/>
                <w:szCs w:val="18"/>
              </w:rPr>
            </w:pPr>
            <w:r w:rsidRPr="002365EF">
              <w:rPr>
                <w:rFonts w:ascii="Verdana" w:hAnsi="Verdana"/>
                <w:b/>
                <w:bCs/>
                <w:iCs/>
                <w:sz w:val="18"/>
                <w:szCs w:val="18"/>
              </w:rPr>
              <w:t>Podatek VAT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412" w:type="dxa"/>
          </w:tcPr>
          <w:p w14:paraId="79700827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</w:p>
        </w:tc>
      </w:tr>
      <w:tr w:rsidR="00463564" w:rsidRPr="002365EF" w14:paraId="284CB929" w14:textId="77777777" w:rsidTr="00727544">
        <w:trPr>
          <w:gridBefore w:val="2"/>
          <w:wBefore w:w="2113" w:type="dxa"/>
          <w:trHeight w:val="416"/>
        </w:trPr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F6444C" w14:textId="77777777" w:rsidR="00463564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32" w:type="dxa"/>
            <w:gridSpan w:val="3"/>
            <w:tcBorders>
              <w:left w:val="single" w:sz="4" w:space="0" w:color="auto"/>
            </w:tcBorders>
          </w:tcPr>
          <w:p w14:paraId="1FA6FF2A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jc w:val="right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Suma </w:t>
            </w:r>
            <w:r w:rsidRPr="002365EF">
              <w:rPr>
                <w:rFonts w:ascii="Verdana" w:hAnsi="Verdana"/>
                <w:b/>
                <w:bCs/>
                <w:iCs/>
                <w:sz w:val="18"/>
                <w:szCs w:val="18"/>
              </w:rPr>
              <w:t>brutto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1412" w:type="dxa"/>
          </w:tcPr>
          <w:p w14:paraId="6497A2C8" w14:textId="77777777" w:rsidR="00463564" w:rsidRPr="002365EF" w:rsidRDefault="00463564" w:rsidP="00727544">
            <w:pPr>
              <w:tabs>
                <w:tab w:val="left" w:pos="5529"/>
              </w:tabs>
              <w:spacing w:line="260" w:lineRule="auto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</w:p>
        </w:tc>
      </w:tr>
    </w:tbl>
    <w:p w14:paraId="22681FF4" w14:textId="77777777" w:rsidR="00463564" w:rsidRDefault="00463564" w:rsidP="00463564">
      <w:pPr>
        <w:tabs>
          <w:tab w:val="left" w:pos="5529"/>
        </w:tabs>
        <w:spacing w:line="260" w:lineRule="auto"/>
        <w:rPr>
          <w:rFonts w:ascii="Verdana" w:hAnsi="Verdana"/>
          <w:iCs/>
          <w:sz w:val="18"/>
          <w:szCs w:val="18"/>
        </w:rPr>
      </w:pPr>
    </w:p>
    <w:p w14:paraId="0F9EA71D" w14:textId="77777777" w:rsidR="00463564" w:rsidRDefault="00463564" w:rsidP="00463564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547DC459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77E268BD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43D915C4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…………………………………………………………………………………………………………………………………………………………….</w:t>
      </w:r>
    </w:p>
    <w:p w14:paraId="7A24EAD3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5518CB2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....................................................................................................................</w:t>
      </w:r>
    </w:p>
    <w:p w14:paraId="548F862B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211B030E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2450E4FD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4E6D7A87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……………………………………………………………………………………….</w:t>
      </w:r>
    </w:p>
    <w:p w14:paraId="590264DC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4BE42144" w14:textId="77777777" w:rsidR="00463564" w:rsidRDefault="00463564" w:rsidP="0046356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09DD0346" w14:textId="77777777" w:rsidR="00463564" w:rsidRDefault="00463564" w:rsidP="00463564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adres e-mail)</w:t>
      </w:r>
    </w:p>
    <w:p w14:paraId="7E3B0BC8" w14:textId="77777777" w:rsidR="00463564" w:rsidRDefault="00463564">
      <w:pPr>
        <w:tabs>
          <w:tab w:val="left" w:pos="5529"/>
        </w:tabs>
        <w:spacing w:line="260" w:lineRule="auto"/>
        <w:rPr>
          <w:rFonts w:ascii="Verdana" w:hAnsi="Verdana"/>
          <w:iCs/>
          <w:sz w:val="18"/>
          <w:szCs w:val="18"/>
        </w:rPr>
      </w:pPr>
    </w:p>
    <w:p w14:paraId="4E1A5EE8" w14:textId="5F92BC8E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1B588A0D" w14:textId="2EB4CEDE" w:rsidR="00680866" w:rsidRDefault="0068086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970F2B0" w14:textId="2D1B3430" w:rsidR="00680866" w:rsidRDefault="0068086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7ADDEA5" w14:textId="3443252D" w:rsidR="00680866" w:rsidRDefault="0068086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2D8A5018" w14:textId="77777777" w:rsidR="002365EF" w:rsidRDefault="002365EF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0EF602E5" w14:textId="77777777" w:rsidR="00680866" w:rsidRDefault="00680866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64B7BCDA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3B5B4CD2" w14:textId="7D2F3E1E" w:rsidR="00027BEC" w:rsidRPr="00AA61A0" w:rsidRDefault="00990971" w:rsidP="00AA61A0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027BEC" w:rsidRPr="00AA61A0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0A9AE" w14:textId="77777777" w:rsidR="00E2634F" w:rsidRDefault="00E2634F" w:rsidP="00674002">
      <w:pPr>
        <w:spacing w:after="0" w:line="240" w:lineRule="auto"/>
      </w:pPr>
      <w:r>
        <w:separator/>
      </w:r>
    </w:p>
  </w:endnote>
  <w:endnote w:type="continuationSeparator" w:id="0">
    <w:p w14:paraId="586266E9" w14:textId="77777777" w:rsidR="00E2634F" w:rsidRDefault="00E2634F" w:rsidP="0067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83315" w14:textId="77777777" w:rsidR="00E2634F" w:rsidRDefault="00E2634F" w:rsidP="00674002">
      <w:pPr>
        <w:spacing w:after="0" w:line="240" w:lineRule="auto"/>
      </w:pPr>
      <w:r>
        <w:separator/>
      </w:r>
    </w:p>
  </w:footnote>
  <w:footnote w:type="continuationSeparator" w:id="0">
    <w:p w14:paraId="4249B11F" w14:textId="77777777" w:rsidR="00E2634F" w:rsidRDefault="00E2634F" w:rsidP="00674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D68D1"/>
    <w:multiLevelType w:val="hybridMultilevel"/>
    <w:tmpl w:val="BF384F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32A1B"/>
    <w:multiLevelType w:val="hybridMultilevel"/>
    <w:tmpl w:val="05DE5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A3EEA"/>
    <w:multiLevelType w:val="hybridMultilevel"/>
    <w:tmpl w:val="BF384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E33D4"/>
    <w:multiLevelType w:val="hybridMultilevel"/>
    <w:tmpl w:val="0354E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283E47"/>
    <w:multiLevelType w:val="hybridMultilevel"/>
    <w:tmpl w:val="D736D6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C051EA5"/>
    <w:multiLevelType w:val="hybridMultilevel"/>
    <w:tmpl w:val="BF384F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138966">
    <w:abstractNumId w:val="2"/>
  </w:num>
  <w:num w:numId="2" w16cid:durableId="1389106698">
    <w:abstractNumId w:val="5"/>
  </w:num>
  <w:num w:numId="3" w16cid:durableId="2033728461">
    <w:abstractNumId w:val="0"/>
  </w:num>
  <w:num w:numId="4" w16cid:durableId="1185169852">
    <w:abstractNumId w:val="3"/>
  </w:num>
  <w:num w:numId="5" w16cid:durableId="1177230361">
    <w:abstractNumId w:val="4"/>
  </w:num>
  <w:num w:numId="6" w16cid:durableId="1408268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053C6"/>
    <w:rsid w:val="00027BEC"/>
    <w:rsid w:val="00070514"/>
    <w:rsid w:val="000A628C"/>
    <w:rsid w:val="00157094"/>
    <w:rsid w:val="00161AFD"/>
    <w:rsid w:val="002365EF"/>
    <w:rsid w:val="00250C7C"/>
    <w:rsid w:val="00254508"/>
    <w:rsid w:val="003A68E1"/>
    <w:rsid w:val="003C7B05"/>
    <w:rsid w:val="00463564"/>
    <w:rsid w:val="00495337"/>
    <w:rsid w:val="004D2CA9"/>
    <w:rsid w:val="004F08F5"/>
    <w:rsid w:val="0051418C"/>
    <w:rsid w:val="005462AF"/>
    <w:rsid w:val="005E5ACE"/>
    <w:rsid w:val="005F450F"/>
    <w:rsid w:val="0060363E"/>
    <w:rsid w:val="00642430"/>
    <w:rsid w:val="00674002"/>
    <w:rsid w:val="00680866"/>
    <w:rsid w:val="006F0F6F"/>
    <w:rsid w:val="0072329F"/>
    <w:rsid w:val="0075271E"/>
    <w:rsid w:val="00770B85"/>
    <w:rsid w:val="007F6279"/>
    <w:rsid w:val="008B75E3"/>
    <w:rsid w:val="00960B97"/>
    <w:rsid w:val="00990971"/>
    <w:rsid w:val="009910FD"/>
    <w:rsid w:val="009A4634"/>
    <w:rsid w:val="009B74E6"/>
    <w:rsid w:val="009F0328"/>
    <w:rsid w:val="00A81D2F"/>
    <w:rsid w:val="00A83C04"/>
    <w:rsid w:val="00AA61A0"/>
    <w:rsid w:val="00BD1597"/>
    <w:rsid w:val="00BF21AB"/>
    <w:rsid w:val="00C60954"/>
    <w:rsid w:val="00D20CAE"/>
    <w:rsid w:val="00D63E01"/>
    <w:rsid w:val="00E031DC"/>
    <w:rsid w:val="00E2634F"/>
    <w:rsid w:val="00E55C4E"/>
    <w:rsid w:val="00F11789"/>
    <w:rsid w:val="00F51E7F"/>
    <w:rsid w:val="00F8340F"/>
    <w:rsid w:val="00FA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4A37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74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740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7400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D63E01"/>
    <w:rPr>
      <w:color w:val="0000FF"/>
      <w:u w:val="single"/>
    </w:rPr>
  </w:style>
  <w:style w:type="table" w:styleId="Tabela-Siatka">
    <w:name w:val="Table Grid"/>
    <w:basedOn w:val="Standardowy"/>
    <w:uiPriority w:val="39"/>
    <w:rsid w:val="00236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63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2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65348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7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9320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6991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Kwolek Monika</cp:lastModifiedBy>
  <cp:revision>2</cp:revision>
  <cp:lastPrinted>2017-06-21T08:08:00Z</cp:lastPrinted>
  <dcterms:created xsi:type="dcterms:W3CDTF">2025-07-23T10:30:00Z</dcterms:created>
  <dcterms:modified xsi:type="dcterms:W3CDTF">2025-07-23T10:30:00Z</dcterms:modified>
</cp:coreProperties>
</file>